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2"/>
        <w:rPr>
          <w:rFonts w:ascii="Arial" w:hAnsi="Arial" w:cs="Arial"/>
          <w:b/>
          <w:bCs/>
          <w:sz w:val="24"/>
          <w:szCs w:val="24"/>
        </w:rPr>
      </w:pPr>
      <w:bookmarkStart w:id="0" w:name="_Toc202547624"/>
      <w:r>
        <w:rPr>
          <w:rFonts w:ascii="Arial" w:hAnsi="Arial" w:cs="Arial"/>
          <w:b/>
          <w:sz w:val="24"/>
          <w:szCs w:val="24"/>
        </w:rPr>
        <w:t xml:space="preserve">Anlage 5 a: Beispielvorlage </w:t>
      </w:r>
      <w:r>
        <w:rPr>
          <w:rFonts w:ascii="Arial" w:hAnsi="Arial" w:cs="Arial"/>
          <w:b/>
          <w:bCs/>
          <w:sz w:val="24"/>
          <w:szCs w:val="24"/>
        </w:rPr>
        <w:t>Entwicklungsplan</w:t>
      </w:r>
      <w:bookmarkEnd w:id="0"/>
      <w:r>
        <w:rPr>
          <w:rFonts w:ascii="Arial" w:hAnsi="Arial" w:cs="Arial"/>
          <w:b/>
          <w:bCs/>
          <w:sz w:val="24"/>
          <w:szCs w:val="24"/>
        </w:rPr>
        <w:t xml:space="preserve"> (Maxi-Version) </w:t>
      </w:r>
    </w:p>
    <w:p>
      <w:pPr>
        <w:rPr>
          <w:rFonts w:cs="Arial"/>
          <w:b/>
          <w:bCs/>
          <w:sz w:val="28"/>
          <w:szCs w:val="28"/>
        </w:rPr>
      </w:pPr>
    </w:p>
    <w:p>
      <w:pPr>
        <w:rPr>
          <w:color w:val="1F497D" w:themeColor="text2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2"/>
        </w:rPr>
        <w:t>für den Zeitraum des Schuljahres von</w:t>
      </w:r>
      <w:r>
        <w:rPr>
          <w:rFonts w:cs="Arial"/>
          <w:b/>
          <w:bCs/>
          <w:color w:val="000000"/>
          <w:sz w:val="22"/>
        </w:rPr>
        <w:t xml:space="preserve"> </w:t>
      </w:r>
      <w:sdt>
        <w:sdtPr>
          <w:rPr>
            <w:color w:val="1F497D" w:themeColor="text2"/>
            <w:sz w:val="20"/>
          </w:rPr>
          <w:alias w:val="Start Schuljahr"/>
          <w:tag w:val="Start Schuljahr"/>
          <w:id w:val="-392656469"/>
          <w:placeholder>
            <w:docPart w:val="606F8D0DC5C3441DAC69215973BAC688"/>
          </w:placeholder>
          <w:showingPlcHdr/>
          <w15:color w:val="C0C0C0"/>
          <w:dropDownList>
            <w:listItem w:value="Wählen Sie ein Jahr aus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</w:dropDownList>
        </w:sdtPr>
        <w:sdtEndPr>
          <w:rPr>
            <w:rFonts w:cs="Arial"/>
            <w:b/>
            <w:bCs/>
            <w:color w:val="000000"/>
            <w:sz w:val="22"/>
          </w:rPr>
        </w:sdtEndPr>
        <w:sdtContent>
          <w:r>
            <w:rPr>
              <w:rFonts w:cs="Arial"/>
              <w:color w:val="808080"/>
              <w:sz w:val="20"/>
              <w:szCs w:val="20"/>
            </w:rPr>
            <w:t>Wählen Sie ein Element aus.</w:t>
          </w:r>
        </w:sdtContent>
      </w:sdt>
      <w:r>
        <w:rPr>
          <w:rFonts w:cs="Arial"/>
          <w:bCs/>
          <w:color w:val="000000"/>
          <w:sz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</w:rPr>
        <w:t>bis</w:t>
      </w:r>
      <w:r>
        <w:rPr>
          <w:rFonts w:cs="Arial"/>
          <w:b/>
          <w:bCs/>
          <w:color w:val="000000"/>
          <w:sz w:val="22"/>
        </w:rPr>
        <w:t xml:space="preserve"> </w:t>
      </w:r>
      <w:sdt>
        <w:sdtPr>
          <w:rPr>
            <w:color w:val="1F497D" w:themeColor="text2"/>
            <w:sz w:val="20"/>
          </w:rPr>
          <w:alias w:val="Ende Schuljahr"/>
          <w:tag w:val="Ende Schuljahr"/>
          <w:id w:val="-209192435"/>
          <w:placeholder>
            <w:docPart w:val="17668B900FB34DAEAACB9FD2BC84CEA6"/>
          </w:placeholder>
          <w:showingPlcHdr/>
          <w15:color w:val="C0C0C0"/>
          <w:dropDownList>
            <w:listItem w:value="Wählen Sie ein Element aus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</w:dropDownList>
        </w:sdtPr>
        <w:sdtEndPr>
          <w:rPr>
            <w:rFonts w:cs="Arial"/>
            <w:b/>
            <w:bCs/>
            <w:color w:val="000000"/>
            <w:sz w:val="22"/>
          </w:rPr>
        </w:sdtEndPr>
        <w:sdtContent>
          <w:r>
            <w:rPr>
              <w:rFonts w:cs="Arial"/>
              <w:color w:val="808080"/>
              <w:sz w:val="20"/>
              <w:szCs w:val="20"/>
            </w:rPr>
            <w:t>Wählen Sie ein Element aus.</w:t>
          </w:r>
        </w:sdtContent>
      </w:sdt>
    </w:p>
    <w:p>
      <w:pPr>
        <w:jc w:val="left"/>
        <w:rPr>
          <w:color w:val="1F497D" w:themeColor="text2"/>
          <w:sz w:val="18"/>
        </w:rPr>
      </w:pPr>
    </w:p>
    <w:p>
      <w:pPr>
        <w:jc w:val="left"/>
        <w:rPr>
          <w:rFonts w:cs="Arial"/>
          <w:b/>
          <w:color w:val="1F497D" w:themeColor="text2"/>
          <w:sz w:val="20"/>
          <w:szCs w:val="20"/>
        </w:rPr>
      </w:pPr>
      <w:r>
        <w:rPr>
          <w:rFonts w:cs="Arial"/>
          <w:noProof/>
          <w:color w:val="1F497D" w:themeColor="text2"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312420</wp:posOffset>
                </wp:positionV>
                <wp:extent cx="9734550" cy="1085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  <w:t>Stärken und Entwicklungsbedarfe der Schule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  <w:t xml:space="preserve">Ergebnisse der internen und/oder externen Evaluation 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  <w:t>Umfeldanalyse, aus der sich grundsätzliche Veränderungen und Problemlagen (z. B. strukturelle, konjunkturelle Veränderungen in der Region/Stadt/Gemeinde) ergeben, insbesondere dann, wenn sich daraus Auswirkungen auf das Bildungsangebot der Schule ableiten lassen.</w:t>
                            </w:r>
                          </w:p>
                          <w:p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  <w:t>Schlussfolgerungen aus der vorangegangenen Jahresarbeitsplanung</w:t>
                            </w: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A6A6A6" w:themeColor="background1" w:themeShade="A6"/>
                                <w:sz w:val="20"/>
                              </w:rPr>
                              <w:t xml:space="preserve">Aus der Bestandsanalyse lassen sich Handlungsfelder/Ziele datengestützt identifizieren.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25pt;margin-top:24.6pt;width:766.5pt;height:8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">
                <v:textbox>
                  <w:txbxContent>
                    <w:p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  <w:t>Stärken und Entwicklungsbedarfe der Schule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  <w:t xml:space="preserve">Ergebnisse der internen und/oder externen Evaluation 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  <w:t>Umfeldanalyse, aus der sich grundsätzliche Veränderungen und Problemlagen (z. B. strukturelle, konjunkturelle Veränderungen in der Region/Stadt/Gemeinde) ergeben, insbesondere dann, wenn sich daraus Auswirkungen auf das Bildungsangebot der Schule ableiten lassen.</w:t>
                      </w:r>
                    </w:p>
                    <w:p>
                      <w:pPr>
                        <w:pStyle w:val="Listenabsatz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  <w:t>Schlussfolgerungen aus der vorangegangenen Jahresarbeitsplanung</w:t>
                      </w:r>
                    </w:p>
                    <w:p>
                      <w:pP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A6A6A6" w:themeColor="background1" w:themeShade="A6"/>
                          <w:sz w:val="20"/>
                        </w:rPr>
                        <w:t xml:space="preserve">Aus der Bestandsanalyse lassen sich Handlungsfelder/Ziele datengestützt identifizieren.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b/>
          <w:color w:val="1F497D" w:themeColor="text2"/>
          <w:sz w:val="20"/>
          <w:szCs w:val="20"/>
        </w:rPr>
        <w:t>Bestandsanalyse der Ausgangssituation und der Rahmenbedingungen der Schule</w:t>
      </w:r>
    </w:p>
    <w:tbl>
      <w:tblPr>
        <w:tblStyle w:val="Tabellenraster1"/>
        <w:tblW w:w="15304" w:type="dxa"/>
        <w:tblLook w:val="04A0" w:firstRow="1" w:lastRow="0" w:firstColumn="1" w:lastColumn="0" w:noHBand="0" w:noVBand="1"/>
      </w:tblPr>
      <w:tblGrid>
        <w:gridCol w:w="15304"/>
      </w:tblGrid>
      <w:tr>
        <w:tc>
          <w:tcPr>
            <w:tcW w:w="15304" w:type="dxa"/>
          </w:tcPr>
          <w:p>
            <w:pPr>
              <w:rPr>
                <w:rFonts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Bezug zum Leitsatz: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-722591303"/>
                <w:placeholder>
                  <w:docPart w:val="CFB61BE930D24C2EA8BE8438CD62638B"/>
                </w:placeholder>
                <w:showingPlcHdr/>
              </w:sdtPr>
              <w:sdtContent>
                <w:r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>
            <w:pPr>
              <w:rPr>
                <w:rFonts w:cs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>
        <w:tc>
          <w:tcPr>
            <w:tcW w:w="15304" w:type="dxa"/>
          </w:tcPr>
          <w:p>
            <w:pPr>
              <w:rPr>
                <w:rFonts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Qualitätsbereiche :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-16925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Unterrichts- und Erziehungstätigkeit</w:t>
            </w:r>
          </w:p>
          <w:p>
            <w:pPr>
              <w:rPr>
                <w:rFonts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2850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Lehrkräfteprofessionalität und Personalentwicklung, Schulmanagement</w:t>
            </w:r>
          </w:p>
          <w:p>
            <w:pPr>
              <w:rPr>
                <w:rFonts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1201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Ziele und Strategien der Qualitätsentwicklung</w:t>
            </w:r>
          </w:p>
          <w:p>
            <w:pPr>
              <w:rPr>
                <w:rFonts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134929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Schulkultur und Schulklima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                             </w:t>
            </w:r>
            <w:sdt>
              <w:sdtPr>
                <w:rPr>
                  <w:rFonts w:cs="Arial"/>
                  <w:color w:val="365F91" w:themeColor="accent1" w:themeShade="BF"/>
                  <w:sz w:val="20"/>
                  <w:szCs w:val="20"/>
                </w:rPr>
                <w:id w:val="196600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365F91" w:themeColor="accent1" w:themeShade="BF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color w:val="365F91" w:themeColor="accent1" w:themeShade="BF"/>
                <w:sz w:val="20"/>
                <w:szCs w:val="20"/>
              </w:rPr>
              <w:t xml:space="preserve">  (Außer)schulische Kooperationsbeziehungen</w:t>
            </w:r>
            <w:r>
              <w:rPr>
                <w:rFonts w:cs="Arial"/>
                <w:sz w:val="20"/>
                <w:szCs w:val="20"/>
              </w:rPr>
              <w:tab/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</w:tbl>
    <w:tbl>
      <w:tblPr>
        <w:tblStyle w:val="Tabellenraster"/>
        <w:tblW w:w="4973" w:type="pct"/>
        <w:tblLook w:val="04A0" w:firstRow="1" w:lastRow="0" w:firstColumn="1" w:lastColumn="0" w:noHBand="0" w:noVBand="1"/>
      </w:tblPr>
      <w:tblGrid>
        <w:gridCol w:w="1985"/>
        <w:gridCol w:w="1681"/>
        <w:gridCol w:w="983"/>
        <w:gridCol w:w="986"/>
        <w:gridCol w:w="1977"/>
        <w:gridCol w:w="1950"/>
        <w:gridCol w:w="1252"/>
        <w:gridCol w:w="2100"/>
        <w:gridCol w:w="2391"/>
      </w:tblGrid>
      <w:sdt>
        <w:sdtPr>
          <w:rPr>
            <w:color w:val="365F91" w:themeColor="accent1" w:themeShade="BF"/>
            <w:sz w:val="20"/>
            <w:szCs w:val="20"/>
          </w:rPr>
          <w:id w:val="228577521"/>
          <w:lock w:val="sdtContentLocked"/>
          <w:placeholder>
            <w:docPart w:val="DefaultPlaceholder_-1854013440"/>
          </w:placeholder>
        </w:sdtPr>
        <w:sdtContent>
          <w:tr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8" w:type="pct"/>
                <w:vMerge w:val="restart"/>
                <w:tcBorders>
                  <w:bottom w:val="single" w:sz="4" w:space="0" w:color="auto"/>
                </w:tcBorders>
              </w:tcPr>
              <w:p>
                <w:pPr>
                  <w:jc w:val="center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Ziele</w:t>
                </w:r>
              </w:p>
              <w:p>
                <w:pPr>
                  <w:rPr>
                    <w:b w:val="0"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color w:val="365F91" w:themeColor="accent1" w:themeShade="BF"/>
                    <w:sz w:val="16"/>
                    <w:szCs w:val="16"/>
                  </w:rPr>
                  <w:t xml:space="preserve">Was soll erreicht werden?  </w:t>
                </w:r>
              </w:p>
              <w:p>
                <w:pP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z. B. nach dem SMART-Prinzip:</w:t>
                </w:r>
              </w:p>
              <w:p>
                <w:pPr>
                  <w:jc w:val="both"/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</w:p>
              <w:p>
                <w:pPr>
                  <w:jc w:val="both"/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S – spezifisch</w:t>
                </w:r>
              </w:p>
              <w:p>
                <w:pPr>
                  <w:jc w:val="both"/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M – messbar</w:t>
                </w:r>
              </w:p>
              <w:p>
                <w:pPr>
                  <w:jc w:val="both"/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A – attraktiv</w:t>
                </w:r>
              </w:p>
              <w:p>
                <w:pPr>
                  <w:jc w:val="both"/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R – realisierbar</w:t>
                </w:r>
              </w:p>
              <w:p>
                <w:pPr>
                  <w:jc w:val="both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 w:val="0"/>
                    <w:bCs/>
                    <w:color w:val="365F91" w:themeColor="accent1" w:themeShade="BF"/>
                    <w:sz w:val="16"/>
                    <w:szCs w:val="16"/>
                  </w:rPr>
                  <w:t>T - terminiert</w:t>
                </w:r>
              </w:p>
            </w:tc>
            <w:tc>
              <w:tcPr>
                <w:tcW w:w="1192" w:type="pct"/>
                <w:gridSpan w:val="3"/>
                <w:tcBorders>
                  <w:bottom w:val="single" w:sz="4" w:space="0" w:color="auto"/>
                </w:tcBorders>
              </w:tcPr>
              <w:p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(Ziel-)Indikator</w:t>
                </w:r>
              </w:p>
              <w:p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b w:val="0"/>
                    <w:color w:val="365F91" w:themeColor="accent1" w:themeShade="BF"/>
                    <w:sz w:val="16"/>
                    <w:szCs w:val="16"/>
                  </w:rPr>
                  <w:t>(Womit/woran wird festgestellt, ob bzw. inwieweit das Ziel/Teilziel erreicht worden ist?)</w:t>
                </w:r>
              </w:p>
            </w:tc>
            <w:tc>
              <w:tcPr>
                <w:tcW w:w="1692" w:type="pct"/>
                <w:gridSpan w:val="3"/>
                <w:tcBorders>
                  <w:bottom w:val="single" w:sz="4" w:space="0" w:color="auto"/>
                </w:tcBorders>
              </w:tcPr>
              <w:p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Maßnahmenplanung</w:t>
                </w:r>
              </w:p>
            </w:tc>
            <w:tc>
              <w:tcPr>
                <w:tcW w:w="1467" w:type="pct"/>
                <w:gridSpan w:val="2"/>
                <w:tcBorders>
                  <w:bottom w:val="single" w:sz="4" w:space="0" w:color="auto"/>
                </w:tcBorders>
              </w:tcPr>
              <w:p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Überprüfung/Evaluation</w:t>
                </w:r>
              </w:p>
            </w:tc>
          </w:tr>
        </w:sdtContent>
      </w:sdt>
      <w:tr>
        <w:trPr>
          <w:trHeight w:val="1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  <w:vMerge/>
          </w:tcPr>
          <w:p>
            <w:pPr>
              <w:jc w:val="both"/>
              <w:rPr>
                <w:color w:val="365F91" w:themeColor="accent1" w:themeShade="BF"/>
                <w:sz w:val="20"/>
                <w:szCs w:val="20"/>
              </w:rPr>
            </w:pPr>
          </w:p>
        </w:tc>
        <w:sdt>
          <w:sdtPr>
            <w:rPr>
              <w:color w:val="365F91" w:themeColor="accent1" w:themeShade="BF"/>
              <w:sz w:val="20"/>
              <w:szCs w:val="20"/>
            </w:rPr>
            <w:id w:val="41999067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549" w:type="pct"/>
              </w:tcPr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Bezeichnung</w:t>
                </w:r>
              </w:p>
            </w:tc>
          </w:sdtContent>
        </w:sdt>
        <w:sdt>
          <w:sdtPr>
            <w:rPr>
              <w:color w:val="365F91" w:themeColor="accent1" w:themeShade="BF"/>
              <w:sz w:val="20"/>
              <w:szCs w:val="20"/>
            </w:rPr>
            <w:id w:val="1828399980"/>
            <w:lock w:val="sdtContentLocked"/>
            <w:placeholder>
              <w:docPart w:val="DefaultPlaceholder_-1854013440"/>
            </w:placeholder>
          </w:sdtPr>
          <w:sdtEndPr>
            <w:rPr>
              <w:sz w:val="16"/>
              <w:szCs w:val="16"/>
            </w:rPr>
          </w:sdtEndPr>
          <w:sdtContent>
            <w:tc>
              <w:tcPr>
                <w:tcW w:w="321" w:type="pct"/>
              </w:tcPr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Ist-Wert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(z. B. %, Kennzahl)</w:t>
                </w:r>
              </w:p>
            </w:tc>
          </w:sdtContent>
        </w:sdt>
        <w:sdt>
          <w:sdtPr>
            <w:rPr>
              <w:color w:val="365F91" w:themeColor="accent1" w:themeShade="BF"/>
              <w:sz w:val="20"/>
              <w:szCs w:val="20"/>
            </w:rPr>
            <w:id w:val="194977306"/>
            <w:lock w:val="sdtContentLocked"/>
            <w:placeholder>
              <w:docPart w:val="DefaultPlaceholder_-1854013440"/>
            </w:placeholder>
          </w:sdtPr>
          <w:sdtEndPr>
            <w:rPr>
              <w:sz w:val="16"/>
              <w:szCs w:val="16"/>
            </w:rPr>
          </w:sdtEndPr>
          <w:sdtContent>
            <w:tc>
              <w:tcPr>
                <w:tcW w:w="321" w:type="pct"/>
              </w:tcPr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20"/>
                    <w:szCs w:val="20"/>
                  </w:rPr>
                  <w:t>Soll-Wert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(z. B. %, Kennzahl)</w:t>
                </w:r>
              </w:p>
            </w:tc>
          </w:sdtContent>
        </w:sdt>
        <w:sdt>
          <w:sdtPr>
            <w:rPr>
              <w:b/>
              <w:color w:val="365F91" w:themeColor="accent1" w:themeShade="BF"/>
              <w:sz w:val="20"/>
              <w:szCs w:val="20"/>
            </w:rPr>
            <w:id w:val="372813284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  <w:sz w:val="16"/>
              <w:szCs w:val="16"/>
            </w:rPr>
          </w:sdtEndPr>
          <w:sdtContent>
            <w:tc>
              <w:tcPr>
                <w:tcW w:w="646" w:type="pct"/>
                <w:vAlign w:val="top"/>
              </w:tcPr>
              <w:p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/>
                    <w:color w:val="365F91" w:themeColor="accent1" w:themeShade="BF"/>
                    <w:sz w:val="20"/>
                    <w:szCs w:val="20"/>
                  </w:rPr>
                  <w:t>Maßnahme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Durch welche konkreten Maßnahmen soll das Ziel erreicht werden?</w:t>
                </w:r>
              </w:p>
            </w:tc>
          </w:sdtContent>
        </w:sdt>
        <w:sdt>
          <w:sdtPr>
            <w:rPr>
              <w:b/>
              <w:color w:val="365F91" w:themeColor="accent1" w:themeShade="BF"/>
              <w:sz w:val="20"/>
              <w:szCs w:val="20"/>
            </w:rPr>
            <w:id w:val="1643539383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  <w:sz w:val="16"/>
              <w:szCs w:val="16"/>
            </w:rPr>
          </w:sdtEndPr>
          <w:sdtContent>
            <w:tc>
              <w:tcPr>
                <w:tcW w:w="637" w:type="pct"/>
                <w:vAlign w:val="top"/>
              </w:tcPr>
              <w:p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/>
                    <w:color w:val="365F91" w:themeColor="accent1" w:themeShade="BF"/>
                    <w:sz w:val="20"/>
                    <w:szCs w:val="20"/>
                  </w:rPr>
                  <w:t>Verantwortlichkeit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Wer führt die Maßnahmen durch bzw. ist verantwortlich?</w:t>
                </w:r>
              </w:p>
            </w:tc>
          </w:sdtContent>
        </w:sdt>
        <w:sdt>
          <w:sdtPr>
            <w:rPr>
              <w:b/>
              <w:color w:val="365F91" w:themeColor="accent1" w:themeShade="BF"/>
              <w:sz w:val="20"/>
              <w:szCs w:val="20"/>
            </w:rPr>
            <w:id w:val="-1316572006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  <w:sz w:val="16"/>
              <w:szCs w:val="16"/>
            </w:rPr>
          </w:sdtEndPr>
          <w:sdtContent>
            <w:tc>
              <w:tcPr>
                <w:tcW w:w="409" w:type="pct"/>
                <w:vAlign w:val="top"/>
              </w:tcPr>
              <w:p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/>
                    <w:color w:val="365F91" w:themeColor="accent1" w:themeShade="BF"/>
                    <w:sz w:val="20"/>
                    <w:szCs w:val="20"/>
                  </w:rPr>
                  <w:t>Termin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16"/>
                    <w:szCs w:val="16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>Bis wann soll das Ziel erreicht werde</w:t>
                </w:r>
                <w:bookmarkStart w:id="1" w:name="_GoBack"/>
                <w:bookmarkEnd w:id="1"/>
                <w:r>
                  <w:rPr>
                    <w:color w:val="365F91" w:themeColor="accent1" w:themeShade="BF"/>
                    <w:sz w:val="16"/>
                    <w:szCs w:val="16"/>
                  </w:rPr>
                  <w:t>n?</w:t>
                </w:r>
              </w:p>
            </w:tc>
          </w:sdtContent>
        </w:sdt>
        <w:sdt>
          <w:sdtPr>
            <w:rPr>
              <w:b/>
              <w:color w:val="365F91" w:themeColor="accent1" w:themeShade="BF"/>
              <w:sz w:val="20"/>
              <w:szCs w:val="20"/>
            </w:rPr>
            <w:id w:val="-384874571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  <w:sz w:val="16"/>
              <w:szCs w:val="16"/>
            </w:rPr>
          </w:sdtEndPr>
          <w:sdtContent>
            <w:tc>
              <w:tcPr>
                <w:tcW w:w="686" w:type="pct"/>
                <w:vAlign w:val="top"/>
              </w:tcPr>
              <w:p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/>
                    <w:color w:val="365F91" w:themeColor="accent1" w:themeShade="BF"/>
                    <w:sz w:val="20"/>
                    <w:szCs w:val="20"/>
                  </w:rPr>
                  <w:t>Grad der Zielerreichung</w:t>
                </w:r>
              </w:p>
              <w:p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color w:val="365F91" w:themeColor="accent1" w:themeShade="BF"/>
                    <w:sz w:val="16"/>
                    <w:szCs w:val="16"/>
                  </w:rPr>
                  <w:t xml:space="preserve">Sind gem. der Indikatoren Fortschritte in Bezug auf die Zielerreichung erzielt worden? </w:t>
                </w:r>
              </w:p>
            </w:tc>
          </w:sdtContent>
        </w:sdt>
        <w:sdt>
          <w:sdtPr>
            <w:rPr>
              <w:b/>
              <w:color w:val="365F91" w:themeColor="accent1" w:themeShade="BF"/>
              <w:sz w:val="20"/>
              <w:szCs w:val="20"/>
            </w:rPr>
            <w:id w:val="-2037191538"/>
            <w:lock w:val="sdtContentLocked"/>
            <w:placeholder>
              <w:docPart w:val="DefaultPlaceholder_-1854013440"/>
            </w:placeholder>
          </w:sdtPr>
          <w:sdtEndPr>
            <w:rPr>
              <w:b w:val="0"/>
            </w:rPr>
          </w:sdtEndPr>
          <w:sdtContent>
            <w:tc>
              <w:tcPr>
                <w:tcW w:w="781" w:type="pct"/>
                <w:vAlign w:val="top"/>
              </w:tcPr>
              <w:p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  <w:r>
                  <w:rPr>
                    <w:b/>
                    <w:color w:val="365F91" w:themeColor="accent1" w:themeShade="BF"/>
                    <w:sz w:val="20"/>
                    <w:szCs w:val="20"/>
                  </w:rPr>
                  <w:t>Schlussfolgerungen bzw. nächste Schritte</w:t>
                </w:r>
              </w:p>
              <w:p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65F91" w:themeColor="accent1" w:themeShade="BF"/>
                    <w:sz w:val="20"/>
                    <w:szCs w:val="20"/>
                  </w:rPr>
                </w:pPr>
              </w:p>
            </w:tc>
          </w:sdtContent>
        </w:sdt>
      </w:tr>
      <w:tr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6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color w:val="808080" w:themeColor="background1" w:themeShade="80"/>
                  <w:sz w:val="20"/>
                  <w:szCs w:val="20"/>
                </w:rPr>
                <w:id w:val="2078855763"/>
                <w:placeholder>
                  <w:docPart w:val="123B50AB7F91404081374CC3BC499797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b w:val="0"/>
                  <w:color w:val="000000"/>
                </w:rPr>
              </w:sdtEndPr>
              <w:sdtContent>
                <w:r>
                  <w:rPr>
                    <w:rFonts w:asciiTheme="minorHAnsi" w:hAnsiTheme="minorHAnsi" w:cstheme="minorHAnsi"/>
                    <w:i/>
                    <w:color w:val="A6A6A6" w:themeColor="background1" w:themeShade="A6"/>
                    <w:sz w:val="20"/>
                    <w:szCs w:val="20"/>
                  </w:rPr>
                  <w:t>Klicken oder tippen Sie, um ein Datum einzugeben.</w:t>
                </w:r>
              </w:sdtContent>
            </w:sdt>
          </w:p>
        </w:tc>
        <w:tc>
          <w:tcPr>
            <w:tcW w:w="686" w:type="pct"/>
            <w:vAlign w:val="top"/>
          </w:tcPr>
          <w:p>
            <w:pPr>
              <w:ind w:left="216" w:hanging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2629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Ziel vollständig erreicht </w:t>
            </w:r>
          </w:p>
          <w:p>
            <w:pPr>
              <w:ind w:left="216" w:hanging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69558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Ziel überwiegend erreicht</w:t>
            </w:r>
          </w:p>
          <w:p>
            <w:pPr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75239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Ziel in Arbeit/    teilweise erreicht</w:t>
            </w:r>
          </w:p>
          <w:p>
            <w:pPr>
              <w:ind w:left="216" w:hanging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-93112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Ziel nicht erreicht</w:t>
            </w:r>
          </w:p>
          <w:p>
            <w:pPr>
              <w:tabs>
                <w:tab w:val="center" w:pos="996"/>
              </w:tabs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81" w:type="pct"/>
            <w:vAlign w:val="top"/>
          </w:tcPr>
          <w:p>
            <w:pPr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22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</w:t>
            </w:r>
            <w:r>
              <w:rPr>
                <w:color w:val="365F91" w:themeColor="accent1" w:themeShade="BF"/>
                <w:sz w:val="18"/>
                <w:szCs w:val="18"/>
              </w:rPr>
              <w:t>Standardisierung der Maßnahme</w:t>
            </w:r>
          </w:p>
          <w:p>
            <w:pPr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-20355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Verlängerung der Maßnahme</w:t>
            </w:r>
          </w:p>
          <w:p>
            <w:pPr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3007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Anpassung der Maßnahme</w:t>
            </w:r>
          </w:p>
          <w:p>
            <w:pPr>
              <w:ind w:left="306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-8869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Abbruch der Maßnahme</w:t>
            </w:r>
          </w:p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</w:p>
          <w:p>
            <w:pPr>
              <w:ind w:left="306" w:hanging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-5169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Weiterführung des Ziels</w:t>
            </w:r>
          </w:p>
          <w:p>
            <w:pPr>
              <w:tabs>
                <w:tab w:val="center" w:pos="996"/>
              </w:tabs>
              <w:ind w:left="238" w:hanging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-190512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Anpassung des Ziels</w:t>
            </w:r>
          </w:p>
          <w:p>
            <w:pPr>
              <w:ind w:left="306" w:hanging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365F91" w:themeColor="accent1" w:themeShade="BF"/>
                  <w:sz w:val="18"/>
                  <w:szCs w:val="18"/>
                </w:rPr>
                <w:id w:val="1110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365F91" w:themeColor="accent1" w:themeShade="BF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365F91" w:themeColor="accent1" w:themeShade="BF"/>
                <w:sz w:val="18"/>
                <w:szCs w:val="18"/>
              </w:rPr>
              <w:t xml:space="preserve">  Abbruch der Zielverfolgung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pct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1" w:type="pct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46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7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9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top"/>
          </w:tcPr>
          <w:p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>
      <w:pPr>
        <w:rPr>
          <w:rFonts w:cs="Arial"/>
          <w:sz w:val="20"/>
          <w:szCs w:val="20"/>
        </w:rPr>
      </w:pPr>
    </w:p>
    <w:p>
      <w:pPr>
        <w:spacing w:after="240"/>
        <w:rPr>
          <w:rFonts w:cs="Arial"/>
          <w:b/>
          <w:color w:val="365F91" w:themeColor="accent1" w:themeShade="BF"/>
          <w:sz w:val="20"/>
          <w:szCs w:val="20"/>
        </w:rPr>
      </w:pPr>
      <w:r>
        <w:rPr>
          <w:rFonts w:cs="Arial"/>
          <w:b/>
          <w:color w:val="365F91" w:themeColor="accent1" w:themeShade="BF"/>
          <w:sz w:val="20"/>
          <w:szCs w:val="20"/>
        </w:rPr>
        <w:t xml:space="preserve">Unterstützungsbedarf: </w:t>
      </w:r>
      <w:sdt>
        <w:sdtPr>
          <w:rPr>
            <w:rFonts w:cs="Arial"/>
            <w:b/>
            <w:color w:val="365F91" w:themeColor="accent1" w:themeShade="BF"/>
            <w:sz w:val="20"/>
            <w:szCs w:val="20"/>
          </w:rPr>
          <w:id w:val="-1227210538"/>
          <w:placeholder>
            <w:docPart w:val="CFB61BE930D24C2EA8BE8438CD62638B"/>
          </w:placeholder>
          <w:showingPlcHdr/>
        </w:sdtPr>
        <w:sdtContent>
          <w:r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>
      <w:pPr>
        <w:spacing w:after="160" w:line="259" w:lineRule="auto"/>
        <w:jc w:val="left"/>
      </w:pPr>
      <w:r>
        <w:rPr>
          <w:rFonts w:cs="Arial"/>
          <w:b/>
          <w:color w:val="365F91" w:themeColor="accent1" w:themeShade="BF"/>
          <w:sz w:val="20"/>
          <w:szCs w:val="20"/>
        </w:rPr>
        <w:t>Termin zur Überprüfung und ggf. Fortschreibung des Maßnahmenplans:</w:t>
      </w:r>
      <w:r>
        <w:rPr>
          <w:rFonts w:cs="Arial"/>
          <w:color w:val="365F91" w:themeColor="accent1" w:themeShade="BF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color w:val="808080" w:themeColor="background1" w:themeShade="80"/>
            <w:sz w:val="20"/>
            <w:szCs w:val="20"/>
          </w:rPr>
          <w:id w:val="1345981430"/>
          <w:placeholder>
            <w:docPart w:val="95DAFA51D5484B6DA068A7DD564D2004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EndPr>
          <w:rPr>
            <w:b w:val="0"/>
            <w:color w:val="000000"/>
          </w:rPr>
        </w:sdtEndPr>
        <w:sdtContent>
          <w:r>
            <w:rPr>
              <w:rFonts w:cs="Arial"/>
              <w:i/>
              <w:color w:val="A6A6A6" w:themeColor="background1" w:themeShade="A6"/>
              <w:sz w:val="20"/>
              <w:szCs w:val="20"/>
            </w:rPr>
            <w:t>Klicken oder tippen Sie, um ein Datum einzugeben.</w:t>
          </w:r>
        </w:sdtContent>
      </w:sdt>
    </w:p>
    <w:sectPr>
      <w:pgSz w:w="16838" w:h="11906" w:orient="landscape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723F9"/>
    <w:multiLevelType w:val="hybridMultilevel"/>
    <w:tmpl w:val="7D906C18"/>
    <w:lvl w:ilvl="0" w:tplc="6380A5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98F6A2D-ABB8-43AE-B781-9C7EB82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jc w:val="left"/>
    </w:pPr>
    <w:rPr>
      <w:rFonts w:cs="Arial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table" w:customStyle="1" w:styleId="Tabellenraster1">
    <w:name w:val="Tabellenraster1"/>
    <w:basedOn w:val="NormaleTabelle"/>
    <w:next w:val="Tabellenraster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6F8D0DC5C3441DAC69215973BAC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45EAD-565A-4D21-B8F8-4B28158D1A4D}"/>
      </w:docPartPr>
      <w:docPartBody>
        <w:p>
          <w:pPr>
            <w:pStyle w:val="606F8D0DC5C3441DAC69215973BAC688"/>
          </w:pPr>
          <w:r>
            <w:rPr>
              <w:color w:val="808080"/>
            </w:rPr>
            <w:t>Wählen Sie ein Element aus.</w:t>
          </w:r>
        </w:p>
      </w:docPartBody>
    </w:docPart>
    <w:docPart>
      <w:docPartPr>
        <w:name w:val="17668B900FB34DAEAACB9FD2BC84C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C83B8-AC71-4463-B159-B8F4011BB160}"/>
      </w:docPartPr>
      <w:docPartBody>
        <w:p>
          <w:pPr>
            <w:pStyle w:val="17668B900FB34DAEAACB9FD2BC84CEA6"/>
          </w:pPr>
          <w:r>
            <w:rPr>
              <w:color w:val="808080"/>
            </w:rPr>
            <w:t>Wählen Sie ein Element aus.</w:t>
          </w:r>
        </w:p>
      </w:docPartBody>
    </w:docPart>
    <w:docPart>
      <w:docPartPr>
        <w:name w:val="CFB61BE930D24C2EA8BE8438CD626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D2A72-40E0-4D63-B305-00524075F1CB}"/>
      </w:docPartPr>
      <w:docPartBody>
        <w:p>
          <w:pPr>
            <w:pStyle w:val="CFB61BE930D24C2EA8BE8438CD62638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DAFA51D5484B6DA068A7DD564D2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6112-0652-4988-926F-35D804B8F4CC}"/>
      </w:docPartPr>
      <w:docPartBody>
        <w:p>
          <w:pPr>
            <w:pStyle w:val="95DAFA51D5484B6DA068A7DD564D2004"/>
          </w:pPr>
          <w:r>
            <w:rPr>
              <w:rFonts w:cstheme="minorHAnsi"/>
              <w:i/>
              <w:color w:val="A6A6A6" w:themeColor="background1" w:themeShade="A6"/>
              <w:sz w:val="20"/>
              <w:szCs w:val="20"/>
            </w:rPr>
            <w:t>Klicken oder tippen Sie, um ein Datum einzugeben.</w:t>
          </w:r>
        </w:p>
      </w:docPartBody>
    </w:docPart>
    <w:docPart>
      <w:docPartPr>
        <w:name w:val="123B50AB7F91404081374CC3BC499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ACAF7-98A2-4291-9CDF-416AE1D74C25}"/>
      </w:docPartPr>
      <w:docPartBody>
        <w:p>
          <w:pPr>
            <w:pStyle w:val="123B50AB7F91404081374CC3BC499797"/>
          </w:pPr>
          <w:r>
            <w:rPr>
              <w:rFonts w:cstheme="minorHAnsi"/>
              <w:i/>
              <w:color w:val="A6A6A6" w:themeColor="background1" w:themeShade="A6"/>
              <w:sz w:val="20"/>
              <w:szCs w:val="20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01C60-772B-44C0-AC80-9451374C491C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06F8D0DC5C3441DAC69215973BAC688">
    <w:name w:val="606F8D0DC5C3441DAC69215973BAC688"/>
  </w:style>
  <w:style w:type="paragraph" w:customStyle="1" w:styleId="17668B900FB34DAEAACB9FD2BC84CEA6">
    <w:name w:val="17668B900FB34DAEAACB9FD2BC84CEA6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FB61BE930D24C2EA8BE8438CD62638B">
    <w:name w:val="CFB61BE930D24C2EA8BE8438CD62638B"/>
  </w:style>
  <w:style w:type="paragraph" w:customStyle="1" w:styleId="49C4678BCF134069B6B267FAE80FEC2D">
    <w:name w:val="49C4678BCF134069B6B267FAE80FEC2D"/>
  </w:style>
  <w:style w:type="paragraph" w:customStyle="1" w:styleId="088E6FC44F234BEE99EAA960ACFFF943">
    <w:name w:val="088E6FC44F234BEE99EAA960ACFFF943"/>
  </w:style>
  <w:style w:type="paragraph" w:customStyle="1" w:styleId="95DAFA51D5484B6DA068A7DD564D2004">
    <w:name w:val="95DAFA51D5484B6DA068A7DD564D2004"/>
  </w:style>
  <w:style w:type="paragraph" w:customStyle="1" w:styleId="123B50AB7F91404081374CC3BC499797">
    <w:name w:val="123B50AB7F91404081374CC3BC499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Bloch, Ricarda</dc:creator>
  <cp:keywords/>
  <dc:description/>
  <cp:lastModifiedBy>Bloch, Ricarda</cp:lastModifiedBy>
  <cp:revision>2</cp:revision>
  <dcterms:created xsi:type="dcterms:W3CDTF">2025-08-21T13:14:00Z</dcterms:created>
  <dcterms:modified xsi:type="dcterms:W3CDTF">2025-08-21T13:14:00Z</dcterms:modified>
</cp:coreProperties>
</file>